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afterAutospacing="0" w:line="240" w:lineRule="auto"/>
        <w:rPr>
          <w:rFonts w:ascii="Times New Roman" w:hAnsi="Times New Roman" w:cs="Times New Roman"/>
          <w:b/>
          <w:bCs/>
          <w:sz w:val="26"/>
          <w:szCs w:val="26"/>
          <w:highlight w:val="non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  <w:t xml:space="preserve">Обучающие</w:t>
      </w: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  <w:t xml:space="preserve"> материалы на тему</w:t>
        <w:br/>
        <w:t xml:space="preserve"> «Антимонопольный комплаенс. Организация </w:t>
      </w: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</w:p>
    <w:p>
      <w:pPr>
        <w:jc w:val="center"/>
        <w:spacing w:after="0" w:afterAutospacing="0" w:line="240" w:lineRule="auto"/>
        <w:rPr>
          <w:rFonts w:ascii="Times New Roman" w:hAnsi="Times New Roman" w:cs="Times New Roman"/>
          <w:b/>
          <w:bCs/>
          <w:sz w:val="26"/>
          <w:szCs w:val="26"/>
          <w:highlight w:val="none"/>
        </w:rPr>
      </w:pP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  <w:t xml:space="preserve">системы внутреннего обеспечения соответствия требованиям антимонопольного законодательства»</w:t>
      </w:r>
      <w:r/>
      <w:r/>
    </w:p>
    <w:p>
      <w:pPr>
        <w:jc w:val="center"/>
        <w:spacing w:after="0" w:afterAutospacing="0" w:line="240" w:lineRule="auto"/>
        <w:rPr>
          <w:rFonts w:ascii="Times New Roman" w:hAnsi="Times New Roman" w:cs="Times New Roman"/>
          <w:b/>
          <w:bCs/>
          <w:sz w:val="26"/>
          <w:szCs w:val="26"/>
          <w:highlight w:val="none"/>
        </w:rPr>
      </w:pP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  <w:r/>
    </w:p>
    <w:p>
      <w:pPr>
        <w:ind w:left="0" w:firstLine="0"/>
        <w:jc w:val="both"/>
        <w:spacing w:after="0" w:afterAutospacing="0" w:line="240" w:lineRule="auto"/>
        <w:rPr>
          <w:highlight w:val="non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 xml:space="preserve">1. 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По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н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ятие юридического комплаенса.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Цели и задачи, принципы</w:t>
      </w:r>
      <w:r>
        <w:t xml:space="preserve">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антимонопольного комплаенса.</w:t>
      </w:r>
      <w:r>
        <w:t xml:space="preserve">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Основы управления</w:t>
      </w:r>
      <w:r>
        <w:t xml:space="preserve">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антимонопольными рисками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.</w:t>
      </w:r>
      <w:r/>
      <w:r>
        <w:rPr>
          <w:rFonts w:ascii="Times New Roman" w:hAnsi="Times New Roman" w:cs="Times New Roman"/>
          <w:sz w:val="26"/>
          <w:szCs w:val="26"/>
          <w:highlight w:val="none"/>
        </w:rPr>
      </w:r>
    </w:p>
    <w:p>
      <w:pPr>
        <w:ind w:left="0" w:firstLine="0"/>
        <w:jc w:val="both"/>
        <w:spacing w:after="0" w:afterAutospacing="0" w:line="240" w:lineRule="auto"/>
        <w:rPr>
          <w:sz w:val="6"/>
          <w:szCs w:val="6"/>
          <w:highlight w:val="none"/>
        </w:rPr>
      </w:pPr>
      <w:r>
        <w:rPr>
          <w:sz w:val="6"/>
          <w:szCs w:val="6"/>
          <w:highlight w:val="none"/>
        </w:rPr>
      </w:r>
      <w:r>
        <w:rPr>
          <w:sz w:val="6"/>
          <w:szCs w:val="6"/>
          <w:highlight w:val="none"/>
        </w:rPr>
      </w:r>
    </w:p>
    <w:p>
      <w:pPr>
        <w:ind w:left="0" w:firstLine="0"/>
        <w:jc w:val="both"/>
        <w:spacing w:after="0" w:afterAutospacing="0" w:line="240" w:lineRule="auto"/>
        <w:rPr>
          <w:rFonts w:ascii="Times New Roman" w:hAnsi="Times New Roman" w:cs="Times New Roman"/>
          <w:sz w:val="26"/>
          <w:szCs w:val="26"/>
          <w:highlight w:val="none"/>
        </w:rPr>
      </w:pPr>
      <w:r>
        <w:rPr>
          <w:rFonts w:ascii="Times New Roman" w:hAnsi="Times New Roman" w:cs="Times New Roman"/>
          <w:sz w:val="26"/>
          <w:szCs w:val="26"/>
          <w:highlight w:val="none"/>
        </w:rPr>
        <w:t xml:space="preserve">2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. 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А</w:t>
      </w:r>
      <w:r>
        <w:rPr>
          <w:rFonts w:ascii="Times New Roman" w:hAnsi="Times New Roman" w:cs="Times New Roman"/>
          <w:sz w:val="26"/>
          <w:szCs w:val="26"/>
        </w:rPr>
        <w:t xml:space="preserve">нтимонопольный комплаенс. Организация системы внутреннего обеспечения соответствия требованиям антимонопольного законодательства органами государственной власти и местного самоуправления.</w:t>
      </w: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</w:p>
    <w:p>
      <w:pPr>
        <w:ind w:left="0" w:firstLine="0"/>
        <w:jc w:val="both"/>
        <w:spacing w:after="0" w:afterAutospacing="0" w:line="240" w:lineRule="auto"/>
        <w:rPr>
          <w:rFonts w:ascii="Times New Roman" w:hAnsi="Times New Roman" w:cs="Times New Roman"/>
          <w:sz w:val="6"/>
          <w:szCs w:val="6"/>
          <w:highlight w:val="none"/>
        </w:rPr>
      </w:pPr>
      <w:r>
        <w:rPr>
          <w:rFonts w:ascii="Times New Roman" w:hAnsi="Times New Roman" w:cs="Times New Roman"/>
          <w:sz w:val="6"/>
          <w:szCs w:val="6"/>
          <w:highlight w:val="none"/>
        </w:rPr>
      </w:r>
      <w:r>
        <w:rPr>
          <w:rFonts w:ascii="Times New Roman" w:hAnsi="Times New Roman" w:cs="Times New Roman"/>
          <w:sz w:val="6"/>
          <w:szCs w:val="6"/>
          <w:highlight w:val="none"/>
        </w:rPr>
      </w:r>
    </w:p>
    <w:p>
      <w:pPr>
        <w:ind w:left="0" w:firstLine="0"/>
        <w:jc w:val="both"/>
        <w:spacing w:after="0" w:afterAutospacing="0" w:line="240" w:lineRule="auto"/>
        <w:rPr>
          <w:highlight w:val="none"/>
        </w:rPr>
      </w:pPr>
      <w:r>
        <w:rPr>
          <w:rFonts w:ascii="Times New Roman" w:hAnsi="Times New Roman" w:cs="Times New Roman"/>
          <w:sz w:val="26"/>
          <w:szCs w:val="26"/>
          <w:highlight w:val="none"/>
        </w:rPr>
        <w:t xml:space="preserve">3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. 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Ра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зработка «дорожной карты» снижения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рисков нарушения антимонопольного законодательства.</w:t>
      </w:r>
      <w:r>
        <w:t xml:space="preserve">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Мероприятия по снижению</w:t>
      </w:r>
      <w:r>
        <w:t xml:space="preserve">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антимонопольных рисков.</w:t>
      </w:r>
      <w:r/>
      <w:r>
        <w:rPr>
          <w:rFonts w:ascii="Times New Roman" w:hAnsi="Times New Roman" w:cs="Times New Roman"/>
          <w:sz w:val="26"/>
          <w:szCs w:val="26"/>
          <w:highlight w:val="none"/>
        </w:rPr>
      </w:r>
    </w:p>
    <w:p>
      <w:pPr>
        <w:ind w:left="0" w:firstLine="0"/>
        <w:jc w:val="both"/>
        <w:spacing w:after="0" w:afterAutospacing="0" w:line="240" w:lineRule="auto"/>
        <w:rPr>
          <w:rFonts w:ascii="Times New Roman" w:hAnsi="Times New Roman" w:cs="Times New Roman"/>
          <w:sz w:val="6"/>
          <w:szCs w:val="6"/>
          <w:highlight w:val="none"/>
        </w:rPr>
      </w:pPr>
      <w:r>
        <w:rPr>
          <w:sz w:val="6"/>
          <w:szCs w:val="6"/>
          <w:highlight w:val="none"/>
        </w:rPr>
      </w:r>
      <w:r>
        <w:rPr>
          <w:rFonts w:ascii="Times New Roman" w:hAnsi="Times New Roman" w:cs="Times New Roman"/>
          <w:sz w:val="6"/>
          <w:szCs w:val="6"/>
          <w:highlight w:val="none"/>
        </w:rPr>
      </w:r>
    </w:p>
    <w:p>
      <w:pPr>
        <w:ind w:left="0" w:firstLine="0"/>
        <w:jc w:val="both"/>
        <w:spacing w:after="0" w:afterAutospacing="0" w:line="240" w:lineRule="auto"/>
        <w:rPr>
          <w:rFonts w:ascii="Times New Roman" w:hAnsi="Times New Roman" w:cs="Times New Roman"/>
          <w:b w:val="0"/>
          <w:bCs w:val="0"/>
          <w:i w:val="0"/>
          <w:sz w:val="26"/>
          <w:szCs w:val="26"/>
          <w:highlight w:val="none"/>
        </w:rPr>
      </w:pPr>
      <w:r>
        <w:rPr>
          <w:rFonts w:ascii="Times New Roman" w:hAnsi="Times New Roman" w:cs="Times New Roman"/>
          <w:sz w:val="26"/>
          <w:szCs w:val="26"/>
          <w:highlight w:val="none"/>
        </w:rPr>
        <w:t xml:space="preserve">4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. 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6"/>
          <w:szCs w:val="26"/>
          <w:highlight w:val="white"/>
          <w:lang w:val="ru-RU"/>
        </w:rPr>
        <w:t xml:space="preserve">П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6"/>
          <w:szCs w:val="26"/>
          <w:highlight w:val="white"/>
          <w:lang w:val="ru-RU"/>
        </w:rPr>
        <w:t xml:space="preserve">р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6"/>
          <w:szCs w:val="26"/>
          <w:lang w:val="ru-RU"/>
        </w:rPr>
        <w:t xml:space="preserve">оведение проверок антимонопольным органом: виды проверок, права и обязанности лиц, участвующих в проведении проверок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6"/>
          <w:szCs w:val="26"/>
          <w:highlight w:val="none"/>
        </w:rPr>
      </w:r>
      <w:r>
        <w:rPr>
          <w:rFonts w:ascii="Times New Roman" w:hAnsi="Times New Roman" w:cs="Times New Roman"/>
          <w:b w:val="0"/>
          <w:bCs w:val="0"/>
          <w:i w:val="0"/>
          <w:iCs w:val="0"/>
          <w:sz w:val="26"/>
          <w:szCs w:val="26"/>
        </w:rPr>
      </w:r>
    </w:p>
    <w:p>
      <w:pPr>
        <w:ind w:left="0" w:firstLine="0"/>
        <w:jc w:val="both"/>
        <w:spacing w:after="0" w:afterAutospacing="0" w:line="240" w:lineRule="auto"/>
        <w:rPr>
          <w:rFonts w:ascii="Times New Roman" w:hAnsi="Times New Roman" w:cs="Times New Roman"/>
          <w:sz w:val="10"/>
          <w:szCs w:val="10"/>
          <w:highlight w:val="none"/>
        </w:rPr>
      </w:pPr>
      <w:r>
        <w:rPr>
          <w:rFonts w:ascii="Times New Roman" w:hAnsi="Times New Roman" w:cs="Times New Roman"/>
          <w:sz w:val="10"/>
          <w:szCs w:val="10"/>
          <w:highlight w:val="none"/>
        </w:rPr>
      </w:r>
      <w:r>
        <w:rPr>
          <w:rFonts w:ascii="Times New Roman" w:hAnsi="Times New Roman" w:cs="Times New Roman"/>
          <w:sz w:val="10"/>
          <w:szCs w:val="10"/>
          <w:highlight w:val="none"/>
        </w:rPr>
      </w:r>
      <w:r/>
    </w:p>
    <w:p>
      <w:pPr>
        <w:ind w:left="0" w:firstLine="0"/>
        <w:jc w:val="both"/>
        <w:spacing w:after="0" w:afterAutospacing="0" w:line="240" w:lineRule="auto"/>
        <w:rPr>
          <w:rFonts w:ascii="Times New Roman" w:hAnsi="Times New Roman" w:cs="Times New Roman"/>
          <w:b w:val="0"/>
          <w:bCs w:val="0"/>
          <w:i w:val="0"/>
          <w:color w:val="000000" w:themeColor="text1"/>
          <w:sz w:val="26"/>
          <w:szCs w:val="26"/>
          <w:highlight w:val="none"/>
        </w:rPr>
      </w:pPr>
      <w:r>
        <w:rPr>
          <w:rFonts w:ascii="Times New Roman" w:hAnsi="Times New Roman" w:cs="Times New Roman"/>
          <w:sz w:val="26"/>
          <w:szCs w:val="26"/>
          <w:highlight w:val="none"/>
        </w:rPr>
        <w:t xml:space="preserve">5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. 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6"/>
          <w:szCs w:val="26"/>
          <w:highlight w:val="white"/>
          <w:lang w:val="ru-RU"/>
        </w:rPr>
        <w:t xml:space="preserve">П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6"/>
          <w:szCs w:val="26"/>
          <w:highlight w:val="white"/>
          <w:lang w:val="ru-RU"/>
        </w:rPr>
        <w:t xml:space="preserve">р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6"/>
          <w:szCs w:val="26"/>
          <w:lang w:val="ru-RU"/>
        </w:rPr>
        <w:t xml:space="preserve">оцедура рассмотрения дел о нарушении антимонопольного законодательства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6"/>
          <w:szCs w:val="26"/>
          <w:highlight w:val="none"/>
        </w:rPr>
        <w:t xml:space="preserve">.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6"/>
          <w:szCs w:val="26"/>
        </w:rPr>
      </w:r>
    </w:p>
    <w:p>
      <w:pPr>
        <w:ind w:left="0" w:firstLine="0"/>
        <w:jc w:val="both"/>
        <w:spacing w:after="0" w:afterAutospacing="0" w:line="240" w:lineRule="auto"/>
        <w:rPr>
          <w:rFonts w:ascii="Times New Roman" w:hAnsi="Times New Roman" w:cs="Times New Roman"/>
          <w:b w:val="0"/>
          <w:bCs w:val="0"/>
          <w:i w:val="0"/>
          <w:color w:val="000000" w:themeColor="text1"/>
          <w:sz w:val="6"/>
          <w:szCs w:val="6"/>
          <w:highlight w:val="none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6"/>
          <w:szCs w:val="6"/>
          <w:highlight w:val="none"/>
        </w:rPr>
      </w:r>
      <w:r>
        <w:rPr>
          <w:rFonts w:ascii="Times New Roman" w:hAnsi="Times New Roman" w:cs="Times New Roman"/>
          <w:b w:val="0"/>
          <w:bCs w:val="0"/>
          <w:i w:val="0"/>
          <w:color w:val="000000" w:themeColor="text1"/>
          <w:sz w:val="6"/>
          <w:szCs w:val="6"/>
          <w:highlight w:val="none"/>
        </w:rPr>
      </w:r>
    </w:p>
    <w:p>
      <w:pPr>
        <w:ind w:left="0" w:firstLine="0"/>
        <w:jc w:val="both"/>
        <w:spacing w:after="0" w:afterAutospacing="0" w:line="240" w:lineRule="auto"/>
        <w:rPr>
          <w:rFonts w:ascii="Times New Roman" w:hAnsi="Times New Roman" w:cs="Times New Roman"/>
          <w:b w:val="0"/>
          <w:bCs w:val="0"/>
          <w:i w:val="0"/>
          <w:color w:val="000000" w:themeColor="text1"/>
          <w:sz w:val="26"/>
          <w:szCs w:val="26"/>
          <w:highlight w:val="none"/>
        </w:rPr>
      </w:pPr>
      <w:r>
        <w:rPr>
          <w:rFonts w:ascii="Times New Roman" w:hAnsi="Times New Roman" w:cs="Times New Roman"/>
          <w:sz w:val="26"/>
          <w:szCs w:val="26"/>
          <w:highlight w:val="none"/>
        </w:rPr>
        <w:t xml:space="preserve">6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. 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6"/>
          <w:szCs w:val="26"/>
          <w:lang w:val="ru-RU"/>
        </w:rPr>
        <w:t xml:space="preserve">Ответственность и санкции за нарушения антимонопольного законодательства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6"/>
          <w:szCs w:val="26"/>
        </w:rPr>
        <w:t xml:space="preserve">.</w:t>
      </w:r>
      <w:r>
        <w:rPr>
          <w:rFonts w:ascii="Times New Roman" w:hAnsi="Times New Roman" w:cs="Times New Roman"/>
          <w:b w:val="0"/>
          <w:bCs w:val="0"/>
          <w:i w:val="0"/>
          <w:color w:val="000000" w:themeColor="text1"/>
          <w:sz w:val="26"/>
          <w:szCs w:val="26"/>
          <w:highlight w:val="none"/>
        </w:rPr>
      </w:r>
      <w:r/>
    </w:p>
    <w:p>
      <w:pPr>
        <w:ind w:left="0" w:firstLine="0"/>
        <w:jc w:val="both"/>
        <w:spacing w:after="0" w:afterAutospacing="0" w:line="240" w:lineRule="auto"/>
        <w:rPr>
          <w:rFonts w:ascii="Times New Roman" w:hAnsi="Times New Roman" w:cs="Times New Roman"/>
          <w:b w:val="0"/>
          <w:bCs w:val="0"/>
          <w:i w:val="0"/>
          <w:color w:val="000000" w:themeColor="text1"/>
          <w:sz w:val="6"/>
          <w:szCs w:val="6"/>
          <w:highlight w:val="none"/>
        </w:rPr>
      </w:pPr>
      <w:r>
        <w:rPr>
          <w:rFonts w:ascii="Times New Roman" w:hAnsi="Times New Roman" w:cs="Times New Roman"/>
          <w:b w:val="0"/>
          <w:bCs w:val="0"/>
          <w:i w:val="0"/>
          <w:color w:val="000000" w:themeColor="text1"/>
          <w:sz w:val="6"/>
          <w:szCs w:val="6"/>
          <w:highlight w:val="none"/>
        </w:rPr>
      </w:r>
      <w:r>
        <w:rPr>
          <w:rFonts w:ascii="Times New Roman" w:hAnsi="Times New Roman" w:cs="Times New Roman"/>
          <w:b w:val="0"/>
          <w:bCs w:val="0"/>
          <w:i w:val="0"/>
          <w:color w:val="000000" w:themeColor="text1"/>
          <w:sz w:val="6"/>
          <w:szCs w:val="6"/>
          <w:highlight w:val="none"/>
        </w:rPr>
      </w:r>
    </w:p>
    <w:p>
      <w:pPr>
        <w:ind w:left="0" w:firstLine="0"/>
        <w:jc w:val="both"/>
        <w:spacing w:after="0" w:afterAutospacing="0" w:line="240" w:lineRule="auto"/>
        <w:rPr>
          <w:rFonts w:ascii="Times New Roman" w:hAnsi="Times New Roman" w:cs="Times New Roman"/>
          <w:b w:val="0"/>
          <w:bCs w:val="0"/>
          <w:i w:val="0"/>
          <w:color w:val="000000"/>
          <w:sz w:val="26"/>
          <w:szCs w:val="26"/>
          <w:highlight w:val="none"/>
        </w:rPr>
      </w:pPr>
      <w:r>
        <w:rPr>
          <w:rFonts w:ascii="Times New Roman" w:hAnsi="Times New Roman" w:cs="Times New Roman"/>
          <w:b w:val="0"/>
          <w:bCs w:val="0"/>
          <w:i w:val="0"/>
          <w:color w:val="000000" w:themeColor="text1"/>
          <w:sz w:val="26"/>
          <w:szCs w:val="26"/>
          <w:highlight w:val="none"/>
        </w:rPr>
        <w:t xml:space="preserve">7. Выдержки из Федерального закона от 26 июля 2006 года № 135-ФЗ «О защите конкуренции».</w:t>
      </w:r>
      <w:r>
        <w:rPr>
          <w:rFonts w:ascii="Times New Roman" w:hAnsi="Times New Roman" w:cs="Times New Roman"/>
          <w:b w:val="0"/>
          <w:bCs w:val="0"/>
          <w:i w:val="0"/>
          <w:color w:val="000000" w:themeColor="text1"/>
          <w:sz w:val="26"/>
          <w:szCs w:val="26"/>
          <w:highlight w:val="none"/>
        </w:rPr>
      </w:r>
    </w:p>
    <w:p>
      <w:pPr>
        <w:ind w:left="0" w:firstLine="0"/>
        <w:jc w:val="both"/>
        <w:spacing w:after="0" w:afterAutospacing="0" w:line="240" w:lineRule="auto"/>
        <w:rPr>
          <w:rFonts w:ascii="Times New Roman" w:hAnsi="Times New Roman" w:cs="Times New Roman"/>
          <w:b w:val="0"/>
          <w:bCs w:val="0"/>
          <w:i w:val="0"/>
          <w:color w:val="000000" w:themeColor="text1"/>
          <w:sz w:val="26"/>
          <w:szCs w:val="26"/>
          <w:highlight w:val="none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6"/>
          <w:szCs w:val="26"/>
          <w:highlight w:val="none"/>
        </w:rPr>
      </w:r>
    </w:p>
    <w:p>
      <w:pPr>
        <w:ind w:left="0" w:firstLine="0"/>
        <w:jc w:val="both"/>
        <w:spacing w:after="0" w:afterAutospacing="0" w:line="240" w:lineRule="auto"/>
        <w:rPr>
          <w:rFonts w:ascii="Times New Roman" w:hAnsi="Times New Roman" w:cs="Times New Roman"/>
          <w:sz w:val="10"/>
          <w:szCs w:val="10"/>
          <w:highlight w:val="none"/>
        </w:rPr>
      </w:pPr>
      <w:r>
        <w:rPr>
          <w:rFonts w:ascii="Times New Roman" w:hAnsi="Times New Roman" w:cs="Times New Roman"/>
          <w:sz w:val="10"/>
          <w:szCs w:val="10"/>
          <w:highlight w:val="none"/>
        </w:rPr>
      </w:r>
      <w:r>
        <w:rPr>
          <w:rFonts w:ascii="Times New Roman" w:hAnsi="Times New Roman" w:cs="Times New Roman"/>
          <w:sz w:val="10"/>
          <w:szCs w:val="10"/>
          <w:highlight w:val="none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2"/>
    <w:next w:val="812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2"/>
    <w:next w:val="812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2"/>
    <w:next w:val="812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2"/>
    <w:next w:val="812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2"/>
    <w:next w:val="812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2"/>
    <w:next w:val="812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2"/>
    <w:next w:val="812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2"/>
    <w:next w:val="812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2"/>
    <w:next w:val="812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Title"/>
    <w:basedOn w:val="812"/>
    <w:next w:val="812"/>
    <w:link w:val="65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5">
    <w:name w:val="Title Char"/>
    <w:link w:val="654"/>
    <w:uiPriority w:val="10"/>
    <w:rPr>
      <w:sz w:val="48"/>
      <w:szCs w:val="48"/>
    </w:rPr>
  </w:style>
  <w:style w:type="paragraph" w:styleId="656">
    <w:name w:val="Subtitle"/>
    <w:basedOn w:val="812"/>
    <w:next w:val="812"/>
    <w:link w:val="657"/>
    <w:uiPriority w:val="11"/>
    <w:qFormat/>
    <w:pPr>
      <w:spacing w:before="200" w:after="200"/>
    </w:pPr>
    <w:rPr>
      <w:sz w:val="24"/>
      <w:szCs w:val="24"/>
    </w:rPr>
  </w:style>
  <w:style w:type="character" w:styleId="657">
    <w:name w:val="Subtitle Char"/>
    <w:link w:val="656"/>
    <w:uiPriority w:val="11"/>
    <w:rPr>
      <w:sz w:val="24"/>
      <w:szCs w:val="24"/>
    </w:rPr>
  </w:style>
  <w:style w:type="paragraph" w:styleId="658">
    <w:name w:val="Quote"/>
    <w:basedOn w:val="812"/>
    <w:next w:val="812"/>
    <w:link w:val="659"/>
    <w:uiPriority w:val="29"/>
    <w:qFormat/>
    <w:pPr>
      <w:ind w:left="720" w:right="720"/>
    </w:pPr>
    <w:rPr>
      <w:i/>
    </w:rPr>
  </w:style>
  <w:style w:type="character" w:styleId="659">
    <w:name w:val="Quote Char"/>
    <w:link w:val="658"/>
    <w:uiPriority w:val="29"/>
    <w:rPr>
      <w:i/>
    </w:rPr>
  </w:style>
  <w:style w:type="paragraph" w:styleId="660">
    <w:name w:val="Intense Quote"/>
    <w:basedOn w:val="812"/>
    <w:next w:val="812"/>
    <w:link w:val="66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1">
    <w:name w:val="Intense Quote Char"/>
    <w:link w:val="660"/>
    <w:uiPriority w:val="30"/>
    <w:rPr>
      <w:i/>
    </w:rPr>
  </w:style>
  <w:style w:type="paragraph" w:styleId="662">
    <w:name w:val="Header"/>
    <w:basedOn w:val="812"/>
    <w:link w:val="66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3">
    <w:name w:val="Header Char"/>
    <w:link w:val="662"/>
    <w:uiPriority w:val="99"/>
  </w:style>
  <w:style w:type="paragraph" w:styleId="664">
    <w:name w:val="Footer"/>
    <w:basedOn w:val="812"/>
    <w:link w:val="6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Footer Char"/>
    <w:link w:val="664"/>
    <w:uiPriority w:val="99"/>
  </w:style>
  <w:style w:type="paragraph" w:styleId="666">
    <w:name w:val="Caption"/>
    <w:basedOn w:val="812"/>
    <w:next w:val="81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7">
    <w:name w:val="Caption Char"/>
    <w:basedOn w:val="666"/>
    <w:link w:val="664"/>
    <w:uiPriority w:val="99"/>
  </w:style>
  <w:style w:type="table" w:styleId="668">
    <w:name w:val="Table Grid"/>
    <w:basedOn w:val="81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4">
    <w:name w:val="Hyperlink"/>
    <w:uiPriority w:val="99"/>
    <w:unhideWhenUsed/>
    <w:rPr>
      <w:color w:val="0000ff" w:themeColor="hyperlink"/>
      <w:u w:val="single"/>
    </w:rPr>
  </w:style>
  <w:style w:type="paragraph" w:styleId="795">
    <w:name w:val="footnote text"/>
    <w:basedOn w:val="812"/>
    <w:link w:val="796"/>
    <w:uiPriority w:val="99"/>
    <w:semiHidden/>
    <w:unhideWhenUsed/>
    <w:pPr>
      <w:spacing w:after="40" w:line="240" w:lineRule="auto"/>
    </w:pPr>
    <w:rPr>
      <w:sz w:val="18"/>
    </w:rPr>
  </w:style>
  <w:style w:type="character" w:styleId="796">
    <w:name w:val="Footnote Text Char"/>
    <w:link w:val="795"/>
    <w:uiPriority w:val="99"/>
    <w:rPr>
      <w:sz w:val="18"/>
    </w:rPr>
  </w:style>
  <w:style w:type="character" w:styleId="797">
    <w:name w:val="footnote reference"/>
    <w:uiPriority w:val="99"/>
    <w:unhideWhenUsed/>
    <w:rPr>
      <w:vertAlign w:val="superscript"/>
    </w:rPr>
  </w:style>
  <w:style w:type="paragraph" w:styleId="798">
    <w:name w:val="endnote text"/>
    <w:basedOn w:val="812"/>
    <w:link w:val="799"/>
    <w:uiPriority w:val="99"/>
    <w:semiHidden/>
    <w:unhideWhenUsed/>
    <w:pPr>
      <w:spacing w:after="0" w:line="240" w:lineRule="auto"/>
    </w:pPr>
    <w:rPr>
      <w:sz w:val="20"/>
    </w:rPr>
  </w:style>
  <w:style w:type="character" w:styleId="799">
    <w:name w:val="Endnote Text Char"/>
    <w:link w:val="798"/>
    <w:uiPriority w:val="99"/>
    <w:rPr>
      <w:sz w:val="20"/>
    </w:rPr>
  </w:style>
  <w:style w:type="character" w:styleId="800">
    <w:name w:val="endnote reference"/>
    <w:uiPriority w:val="99"/>
    <w:semiHidden/>
    <w:unhideWhenUsed/>
    <w:rPr>
      <w:vertAlign w:val="superscript"/>
    </w:rPr>
  </w:style>
  <w:style w:type="paragraph" w:styleId="801">
    <w:name w:val="toc 1"/>
    <w:basedOn w:val="812"/>
    <w:next w:val="812"/>
    <w:uiPriority w:val="39"/>
    <w:unhideWhenUsed/>
    <w:pPr>
      <w:ind w:left="0" w:right="0" w:firstLine="0"/>
      <w:spacing w:after="57"/>
    </w:pPr>
  </w:style>
  <w:style w:type="paragraph" w:styleId="802">
    <w:name w:val="toc 2"/>
    <w:basedOn w:val="812"/>
    <w:next w:val="812"/>
    <w:uiPriority w:val="39"/>
    <w:unhideWhenUsed/>
    <w:pPr>
      <w:ind w:left="283" w:right="0" w:firstLine="0"/>
      <w:spacing w:after="57"/>
    </w:pPr>
  </w:style>
  <w:style w:type="paragraph" w:styleId="803">
    <w:name w:val="toc 3"/>
    <w:basedOn w:val="812"/>
    <w:next w:val="812"/>
    <w:uiPriority w:val="39"/>
    <w:unhideWhenUsed/>
    <w:pPr>
      <w:ind w:left="567" w:right="0" w:firstLine="0"/>
      <w:spacing w:after="57"/>
    </w:pPr>
  </w:style>
  <w:style w:type="paragraph" w:styleId="804">
    <w:name w:val="toc 4"/>
    <w:basedOn w:val="812"/>
    <w:next w:val="812"/>
    <w:uiPriority w:val="39"/>
    <w:unhideWhenUsed/>
    <w:pPr>
      <w:ind w:left="850" w:right="0" w:firstLine="0"/>
      <w:spacing w:after="57"/>
    </w:pPr>
  </w:style>
  <w:style w:type="paragraph" w:styleId="805">
    <w:name w:val="toc 5"/>
    <w:basedOn w:val="812"/>
    <w:next w:val="812"/>
    <w:uiPriority w:val="39"/>
    <w:unhideWhenUsed/>
    <w:pPr>
      <w:ind w:left="1134" w:right="0" w:firstLine="0"/>
      <w:spacing w:after="57"/>
    </w:pPr>
  </w:style>
  <w:style w:type="paragraph" w:styleId="806">
    <w:name w:val="toc 6"/>
    <w:basedOn w:val="812"/>
    <w:next w:val="812"/>
    <w:uiPriority w:val="39"/>
    <w:unhideWhenUsed/>
    <w:pPr>
      <w:ind w:left="1417" w:right="0" w:firstLine="0"/>
      <w:spacing w:after="57"/>
    </w:pPr>
  </w:style>
  <w:style w:type="paragraph" w:styleId="807">
    <w:name w:val="toc 7"/>
    <w:basedOn w:val="812"/>
    <w:next w:val="812"/>
    <w:uiPriority w:val="39"/>
    <w:unhideWhenUsed/>
    <w:pPr>
      <w:ind w:left="1701" w:right="0" w:firstLine="0"/>
      <w:spacing w:after="57"/>
    </w:pPr>
  </w:style>
  <w:style w:type="paragraph" w:styleId="808">
    <w:name w:val="toc 8"/>
    <w:basedOn w:val="812"/>
    <w:next w:val="812"/>
    <w:uiPriority w:val="39"/>
    <w:unhideWhenUsed/>
    <w:pPr>
      <w:ind w:left="1984" w:right="0" w:firstLine="0"/>
      <w:spacing w:after="57"/>
    </w:pPr>
  </w:style>
  <w:style w:type="paragraph" w:styleId="809">
    <w:name w:val="toc 9"/>
    <w:basedOn w:val="812"/>
    <w:next w:val="812"/>
    <w:uiPriority w:val="39"/>
    <w:unhideWhenUsed/>
    <w:pPr>
      <w:ind w:left="2268" w:right="0" w:firstLine="0"/>
      <w:spacing w:after="57"/>
    </w:pPr>
  </w:style>
  <w:style w:type="paragraph" w:styleId="810">
    <w:name w:val="TOC Heading"/>
    <w:uiPriority w:val="39"/>
    <w:unhideWhenUsed/>
  </w:style>
  <w:style w:type="paragraph" w:styleId="811">
    <w:name w:val="table of figures"/>
    <w:basedOn w:val="812"/>
    <w:next w:val="812"/>
    <w:uiPriority w:val="99"/>
    <w:unhideWhenUsed/>
    <w:pPr>
      <w:spacing w:after="0" w:afterAutospacing="0"/>
    </w:pPr>
  </w:style>
  <w:style w:type="paragraph" w:styleId="812" w:default="1">
    <w:name w:val="Normal"/>
    <w:qFormat/>
  </w:style>
  <w:style w:type="table" w:styleId="8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No Spacing"/>
    <w:basedOn w:val="812"/>
    <w:uiPriority w:val="1"/>
    <w:qFormat/>
    <w:pPr>
      <w:spacing w:after="0" w:line="240" w:lineRule="auto"/>
    </w:pPr>
  </w:style>
  <w:style w:type="paragraph" w:styleId="816">
    <w:name w:val="List Paragraph"/>
    <w:basedOn w:val="812"/>
    <w:uiPriority w:val="34"/>
    <w:qFormat/>
    <w:pPr>
      <w:contextualSpacing/>
      <w:ind w:left="720"/>
    </w:pPr>
  </w:style>
  <w:style w:type="character" w:styleId="817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</cp:revision>
  <dcterms:modified xsi:type="dcterms:W3CDTF">2025-12-19T06:37:55Z</dcterms:modified>
</cp:coreProperties>
</file>